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240"/>
        <w:gridCol w:w="9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微软雅黑" w:hAnsi="宋体" w:eastAsia="微软雅黑" w:cs="宋体"/>
                <w:color w:val="0781CE"/>
                <w:kern w:val="36"/>
                <w:sz w:val="49"/>
                <w:szCs w:val="49"/>
                <w:lang w:val="en-US" w:eastAsia="zh-CN"/>
              </w:rPr>
              <w:t>2022年芜湖市第二季度医疗服务信息公开（市卫健委汇总表格）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38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3" w:firstLineChars="20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根据省委《关于调整完善安徽省医疗服务信息社会公开内容的通知》（皖卫传〔2022〕135号）要求，全市二级以上医疗机构每季度结束后10个工作日内通过医院门户网站等方式向社会公开该季度6大类26项医疗服务信息。我委现将辖区内二级以上医疗机构2021年第一季度医疗服务信息相关情况汇总公布，方便群众就医和社会监督。填报人：潘森         联系方式：13956630719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信息公开链接网址（门户网址）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无为市中医医院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8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www.wwzyy.com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</w:p>
    <w:tbl>
      <w:tblPr>
        <w:tblStyle w:val="2"/>
        <w:tblW w:w="13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240"/>
        <w:gridCol w:w="1617"/>
        <w:gridCol w:w="1500"/>
        <w:gridCol w:w="1635"/>
        <w:gridCol w:w="1575"/>
        <w:gridCol w:w="1440"/>
        <w:gridCol w:w="105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91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2022年第二季度各医院医疗基本情况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917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重点（特色）专科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“江淮名医”人数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床医比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床护比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国家级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省 级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 级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 级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无为市中医医院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针灸推拿科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康复科、肿瘤科、心血管科、骨伤科、针灸推拿科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脑病科、脾胃病科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2.24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2"/>
        <w:tblW w:w="138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  <w:gridCol w:w="2400"/>
        <w:gridCol w:w="2157"/>
        <w:gridCol w:w="2535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2022年第二季度各医院医疗费用情况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87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门诊患者人均医疗费用（元）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住院患者人均医疗费用（元）</w:t>
            </w:r>
          </w:p>
        </w:tc>
        <w:tc>
          <w:tcPr>
            <w:tcW w:w="5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医保报销比例（%）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城镇职工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城乡居民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无为市中医医院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176.53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4529.11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68.35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66.39</w:t>
            </w:r>
          </w:p>
        </w:tc>
      </w:tr>
    </w:tbl>
    <w:p>
      <w:pPr>
        <w:rPr>
          <w:rFonts w:hint="default"/>
          <w:lang w:val="en-US" w:eastAsia="zh-CN"/>
        </w:rPr>
      </w:pPr>
    </w:p>
    <w:tbl>
      <w:tblPr>
        <w:tblStyle w:val="2"/>
        <w:tblW w:w="138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0"/>
        <w:gridCol w:w="942"/>
        <w:gridCol w:w="1080"/>
        <w:gridCol w:w="1080"/>
        <w:gridCol w:w="1140"/>
        <w:gridCol w:w="870"/>
        <w:gridCol w:w="1200"/>
        <w:gridCol w:w="1200"/>
        <w:gridCol w:w="109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7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2022年第二季度各医院医疗质量情况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72" w:type="dxa"/>
            <w:gridSpan w:val="10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治愈好转率（%）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手术前后诊断符合率（%）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急诊抢救成功率（%）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抗菌药物使用强度DDDs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门诊输液率（%）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无菌手术切口感染率（%）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住院患者压疮发生率（%）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出院患者手术占比（%）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手术患者并发症发生率（%）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无为市中医医院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98.7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99.7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75.39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33.58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0.75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0.02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19.22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0.38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/>
          <w:lang w:val="en-US" w:eastAsia="zh-CN"/>
        </w:rPr>
      </w:pPr>
    </w:p>
    <w:tbl>
      <w:tblPr>
        <w:tblStyle w:val="2"/>
        <w:tblW w:w="138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36"/>
        <w:gridCol w:w="2382"/>
        <w:gridCol w:w="30"/>
        <w:gridCol w:w="438"/>
        <w:gridCol w:w="1392"/>
        <w:gridCol w:w="1126"/>
        <w:gridCol w:w="179"/>
        <w:gridCol w:w="15"/>
        <w:gridCol w:w="638"/>
        <w:gridCol w:w="850"/>
        <w:gridCol w:w="850"/>
        <w:gridCol w:w="1084"/>
        <w:gridCol w:w="104"/>
        <w:gridCol w:w="846"/>
        <w:gridCol w:w="1216"/>
        <w:gridCol w:w="862"/>
        <w:gridCol w:w="82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87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2022年第二季度各医院运行效率情况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8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门诊患者平均预约诊疗率挂号预约率（%）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门诊患者预约后平均等待时间（分钟）</w:t>
            </w:r>
          </w:p>
        </w:tc>
        <w:tc>
          <w:tcPr>
            <w:tcW w:w="2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术前待床日（天）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病床使用率（%）</w:t>
            </w:r>
          </w:p>
        </w:tc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出院者平均住院日（天）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门诊人次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出院人次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患者满意度（%）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8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二类手术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三类手术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四类手术</w:t>
            </w:r>
          </w:p>
        </w:tc>
        <w:tc>
          <w:tcPr>
            <w:tcW w:w="10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无为市中医医院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0.67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1.35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1.97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2.32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74.43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6.1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169861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4027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95.4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8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住院患者前20位单病种平均费用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疾病名称（按ICD-10编码分类）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术式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本期平均费用（元）</w:t>
            </w:r>
          </w:p>
        </w:tc>
        <w:tc>
          <w:tcPr>
            <w:tcW w:w="3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上期平均费用（元）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0" w:hRule="atLeast"/>
        </w:trPr>
        <w:tc>
          <w:tcPr>
            <w:tcW w:w="13872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医院特色专科住院患者前5位单病种平均费用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980" w:hRule="atLeast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疾病名称（按ICD-10编码分类）</w:t>
            </w: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术式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本期平均费用（元）</w:t>
            </w: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上期平均费用（元）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10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后循环缺血</w:t>
            </w: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3827.02</w:t>
            </w:r>
          </w:p>
        </w:tc>
        <w:tc>
          <w:tcPr>
            <w:tcW w:w="385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3446.95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脑梗死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4393.24</w:t>
            </w:r>
          </w:p>
        </w:tc>
        <w:tc>
          <w:tcPr>
            <w:tcW w:w="3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4057.15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恶性肿瘤支持治疗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4883.69</w:t>
            </w:r>
          </w:p>
        </w:tc>
        <w:tc>
          <w:tcPr>
            <w:tcW w:w="3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4282.90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4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脑动脉供血不足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2850.23</w:t>
            </w:r>
          </w:p>
        </w:tc>
        <w:tc>
          <w:tcPr>
            <w:tcW w:w="3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2667.34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70" w:hRule="atLeast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5</w:t>
            </w:r>
          </w:p>
        </w:tc>
        <w:tc>
          <w:tcPr>
            <w:tcW w:w="2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恶性肿瘤维持性化学治疗</w:t>
            </w:r>
          </w:p>
        </w:tc>
        <w:tc>
          <w:tcPr>
            <w:tcW w:w="3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4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4496.01</w:t>
            </w:r>
          </w:p>
        </w:tc>
        <w:tc>
          <w:tcPr>
            <w:tcW w:w="3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5033.27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2"/>
        <w:tblW w:w="138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2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5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555555"/>
                <w:kern w:val="0"/>
                <w:sz w:val="32"/>
                <w:szCs w:val="32"/>
                <w:u w:val="none"/>
                <w:lang w:val="en-US" w:eastAsia="zh-CN" w:bidi="ar"/>
              </w:rPr>
              <w:t>医疗机构服务承诺内容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承诺服务内容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医务人员着装统一、整洁、挂牌上岗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工作人员工作时间在岗在位，认真履行岗位职责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善待患者，态度和蔼，语言文明，服务热情，不推诿、训斥、刁难病人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严禁收受“红包”、回扣及物品，拒绝购销领城的不正当利益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对70岁以上老人实行免费挂号，落实“三优先”政策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急危重症患者实行“先就医后挂号”、“先治疗后交费”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在门诊大厅设立一站式服务台，提供导诊、咨询及便民设施，并为行动不便的老人提供轮椅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严格执行卫生法律法规、依法执业及质量标准，因病施治、合理检查用药、精心诊疗护理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严格执行药品耗材管理办法，保证药品耗材质量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严格执行物价标准，价格公示及费用清单制。执行患者住院“一日清单制”，不分解收费，不超标准收费，不自立项目收费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执行医务公开、价格和收费公示制度，尊重患者的选择权、知情权和监督权</w:t>
            </w:r>
          </w:p>
        </w:tc>
      </w:tr>
    </w:tbl>
    <w:p>
      <w:pPr>
        <w:rPr>
          <w:rFonts w:hint="default"/>
          <w:sz w:val="22"/>
          <w:szCs w:val="2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YjU4Yjc0MDVhN2Q2ZGYxZmIyYWI3MmQ1M2Y1ZWUifQ=="/>
  </w:docVars>
  <w:rsids>
    <w:rsidRoot w:val="36C8353B"/>
    <w:rsid w:val="13463902"/>
    <w:rsid w:val="36C8353B"/>
    <w:rsid w:val="36CC540C"/>
    <w:rsid w:val="52021243"/>
    <w:rsid w:val="555A3968"/>
    <w:rsid w:val="6C8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1169</Words>
  <Characters>1379</Characters>
  <Lines>0</Lines>
  <Paragraphs>0</Paragraphs>
  <TotalTime>278</TotalTime>
  <ScaleCrop>false</ScaleCrop>
  <LinksUpToDate>false</LinksUpToDate>
  <CharactersWithSpaces>1419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2022-05-10T01:31:00Z</dcterms:created>
  <dc:creator>Keo</dc:creator>
  <cp:lastModifiedBy>阳光下的证明</cp:lastModifiedBy>
  <cp:lastPrinted>2022-07-21T07:35:00Z</cp:lastPrinted>
  <dcterms:modified xsi:type="dcterms:W3CDTF">2022-07-21T07:47:49Z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93E8BBC571614412AEBCB7B4849A5180</vt:lpwstr>
  </property>
</Properties>
</file>